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D4BC" w14:textId="294BD38F" w:rsidR="00A017B9" w:rsidRDefault="00587A37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4F800885" wp14:editId="7DD77474">
            <wp:extent cx="2435225" cy="974090"/>
            <wp:effectExtent l="0" t="0" r="3175" b="0"/>
            <wp:docPr id="1" name="image1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226" cy="974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5CFFE01A" wp14:editId="646379C8">
            <wp:extent cx="2806065" cy="9683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892" cy="96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DF18E7" w14:textId="77777777" w:rsidR="00587A37" w:rsidRDefault="00587A37">
      <w:pPr>
        <w:jc w:val="center"/>
        <w:rPr>
          <w:rFonts w:ascii="Arial" w:eastAsia="Arial" w:hAnsi="Arial" w:cs="Arial"/>
          <w:b/>
          <w:i/>
          <w:lang w:val="fr-CA"/>
        </w:rPr>
      </w:pPr>
    </w:p>
    <w:p w14:paraId="7B1D3118" w14:textId="0DF3CE76" w:rsidR="00D12DE3" w:rsidRPr="000704A0" w:rsidRDefault="00A017B9">
      <w:pPr>
        <w:jc w:val="center"/>
        <w:rPr>
          <w:rFonts w:ascii="Arial" w:eastAsia="Arial" w:hAnsi="Arial" w:cs="Arial"/>
          <w:b/>
          <w:color w:val="000000"/>
          <w:sz w:val="30"/>
          <w:szCs w:val="30"/>
          <w:lang w:val="fr-CA"/>
        </w:rPr>
      </w:pPr>
      <w:r w:rsidRPr="000704A0">
        <w:rPr>
          <w:rFonts w:ascii="Arial" w:eastAsia="Arial" w:hAnsi="Arial" w:cs="Arial"/>
          <w:b/>
          <w:i/>
          <w:lang w:val="fr-CA"/>
        </w:rPr>
        <w:t>Produ</w:t>
      </w:r>
      <w:r w:rsidR="000704A0" w:rsidRPr="000704A0">
        <w:rPr>
          <w:rFonts w:ascii="Arial" w:eastAsia="Arial" w:hAnsi="Arial" w:cs="Arial"/>
          <w:b/>
          <w:i/>
          <w:lang w:val="fr-CA"/>
        </w:rPr>
        <w:t xml:space="preserve">it en </w:t>
      </w:r>
      <w:r w:rsidRPr="000704A0">
        <w:rPr>
          <w:rFonts w:ascii="Arial" w:eastAsia="Arial" w:hAnsi="Arial" w:cs="Arial"/>
          <w:b/>
          <w:i/>
          <w:lang w:val="fr-CA"/>
        </w:rPr>
        <w:t xml:space="preserve">collaboration </w:t>
      </w:r>
      <w:r w:rsidR="000704A0" w:rsidRPr="000704A0">
        <w:rPr>
          <w:rFonts w:ascii="Arial" w:eastAsia="Arial" w:hAnsi="Arial" w:cs="Arial"/>
          <w:b/>
          <w:i/>
          <w:lang w:val="fr-CA"/>
        </w:rPr>
        <w:t>avec</w:t>
      </w:r>
      <w:r w:rsidRPr="000704A0">
        <w:rPr>
          <w:rFonts w:ascii="Arial" w:eastAsia="Arial" w:hAnsi="Arial" w:cs="Arial"/>
          <w:b/>
          <w:i/>
          <w:lang w:val="fr-CA"/>
        </w:rPr>
        <w:t xml:space="preserve"> </w:t>
      </w:r>
      <w:r w:rsidRPr="000704A0">
        <w:rPr>
          <w:rFonts w:ascii="Arial" w:eastAsia="Arial" w:hAnsi="Arial" w:cs="Arial"/>
          <w:b/>
          <w:i/>
          <w:lang w:val="fr-CA"/>
        </w:rPr>
        <w:br/>
      </w:r>
      <w:r w:rsidR="000704A0" w:rsidRPr="000704A0">
        <w:rPr>
          <w:rFonts w:ascii="Arial" w:eastAsia="Arial" w:hAnsi="Arial" w:cs="Arial"/>
          <w:b/>
          <w:i/>
          <w:lang w:val="fr-CA"/>
        </w:rPr>
        <w:t xml:space="preserve">CSSSC </w:t>
      </w:r>
      <w:r w:rsidR="000704A0">
        <w:rPr>
          <w:rFonts w:ascii="Arial" w:eastAsia="Arial" w:hAnsi="Arial" w:cs="Arial"/>
          <w:b/>
          <w:i/>
          <w:lang w:val="fr-CA"/>
        </w:rPr>
        <w:t xml:space="preserve">le </w:t>
      </w:r>
      <w:r w:rsidR="000704A0" w:rsidRPr="000704A0">
        <w:rPr>
          <w:rFonts w:ascii="Arial" w:eastAsia="Arial" w:hAnsi="Arial" w:cs="Arial"/>
          <w:b/>
          <w:i/>
          <w:lang w:val="fr-CA"/>
        </w:rPr>
        <w:t>Comit</w:t>
      </w:r>
      <w:r w:rsidR="000704A0">
        <w:rPr>
          <w:rFonts w:ascii="Arial" w:eastAsia="Arial" w:hAnsi="Arial" w:cs="Arial"/>
          <w:b/>
          <w:i/>
          <w:lang w:val="fr-CA"/>
        </w:rPr>
        <w:t>é pour les ser</w:t>
      </w:r>
      <w:r w:rsidR="00861296">
        <w:rPr>
          <w:rFonts w:ascii="Arial" w:eastAsia="Arial" w:hAnsi="Arial" w:cs="Arial"/>
          <w:b/>
          <w:i/>
          <w:lang w:val="fr-CA"/>
        </w:rPr>
        <w:t>vices</w:t>
      </w:r>
      <w:r w:rsidR="000704A0">
        <w:rPr>
          <w:rFonts w:ascii="Arial" w:eastAsia="Arial" w:hAnsi="Arial" w:cs="Arial"/>
          <w:b/>
          <w:i/>
          <w:lang w:val="fr-CA"/>
        </w:rPr>
        <w:t xml:space="preserve"> sans fil des Sourds du Canada</w:t>
      </w:r>
      <w:r w:rsidRPr="000704A0">
        <w:rPr>
          <w:rFonts w:ascii="Arial" w:eastAsia="Arial" w:hAnsi="Arial" w:cs="Arial"/>
          <w:b/>
          <w:i/>
          <w:lang w:val="fr-CA"/>
        </w:rPr>
        <w:t xml:space="preserve"> (CSSSC</w:t>
      </w:r>
      <w:r w:rsidR="000704A0">
        <w:rPr>
          <w:rFonts w:ascii="Arial" w:eastAsia="Arial" w:hAnsi="Arial" w:cs="Arial"/>
          <w:b/>
          <w:i/>
          <w:lang w:val="fr-CA"/>
        </w:rPr>
        <w:t xml:space="preserve"> -</w:t>
      </w:r>
      <w:r w:rsidR="000704A0" w:rsidRPr="000704A0">
        <w:rPr>
          <w:rFonts w:ascii="Arial" w:eastAsia="Arial" w:hAnsi="Arial" w:cs="Arial"/>
          <w:b/>
          <w:i/>
          <w:lang w:val="fr-CA"/>
        </w:rPr>
        <w:t xml:space="preserve"> DWCC</w:t>
      </w:r>
      <w:r w:rsidRPr="000704A0">
        <w:rPr>
          <w:rFonts w:ascii="Arial" w:eastAsia="Arial" w:hAnsi="Arial" w:cs="Arial"/>
          <w:b/>
          <w:i/>
          <w:lang w:val="fr-CA"/>
        </w:rPr>
        <w:t>)</w:t>
      </w:r>
      <w:r w:rsidRPr="000704A0">
        <w:rPr>
          <w:rFonts w:ascii="Arial" w:eastAsia="Arial" w:hAnsi="Arial" w:cs="Arial"/>
          <w:b/>
          <w:sz w:val="30"/>
          <w:szCs w:val="30"/>
          <w:lang w:val="fr-CA"/>
        </w:rPr>
        <w:br/>
      </w:r>
    </w:p>
    <w:p w14:paraId="29F16F37" w14:textId="20DB5B3A" w:rsidR="00D12DE3" w:rsidRPr="000704A0" w:rsidRDefault="000704A0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fr-CA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 xml:space="preserve">Services Sans Fil du Canada </w:t>
      </w:r>
      <w:r w:rsidRPr="000704A0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>et</w:t>
      </w:r>
      <w:r w:rsidR="00A017B9" w:rsidRPr="000704A0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 xml:space="preserve"> COVID-19</w:t>
      </w:r>
    </w:p>
    <w:p w14:paraId="465F180F" w14:textId="77777777" w:rsidR="000704A0" w:rsidRDefault="000704A0" w:rsidP="000704A0">
      <w:pPr>
        <w:pStyle w:val="Normal2"/>
        <w:rPr>
          <w:rFonts w:ascii="Arial" w:eastAsia="Arial" w:hAnsi="Arial" w:cs="Arial"/>
          <w:lang w:val="fr-CA"/>
        </w:rPr>
      </w:pPr>
    </w:p>
    <w:p w14:paraId="4F3ABAB6" w14:textId="3BCFE058" w:rsidR="000704A0" w:rsidRPr="00587A37" w:rsidRDefault="000704A0" w:rsidP="00587A37">
      <w:pPr>
        <w:pStyle w:val="Normal2"/>
        <w:contextualSpacing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87A37">
        <w:rPr>
          <w:rFonts w:ascii="Arial" w:eastAsia="Arial" w:hAnsi="Arial" w:cs="Arial"/>
          <w:sz w:val="22"/>
          <w:szCs w:val="22"/>
          <w:lang w:val="fr-CA"/>
        </w:rPr>
        <w:t xml:space="preserve">Le </w:t>
      </w:r>
      <w:hyperlink r:id="rId11" w:history="1">
        <w:r w:rsidRPr="00C014F4">
          <w:rPr>
            <w:rStyle w:val="Hyperlink"/>
            <w:rFonts w:ascii="Arial" w:eastAsia="Arial" w:hAnsi="Arial" w:cs="Arial"/>
            <w:color w:val="0000FF"/>
            <w:sz w:val="22"/>
            <w:szCs w:val="22"/>
            <w:lang w:val="fr-CA"/>
          </w:rPr>
          <w:t>Conseil de la radiodiffusion et des télécommunications canadiennes (CRTC)</w:t>
        </w:r>
      </w:hyperlink>
      <w:r w:rsidRPr="00C014F4">
        <w:rPr>
          <w:rFonts w:ascii="Arial" w:eastAsia="Arial" w:hAnsi="Arial" w:cs="Arial"/>
          <w:color w:val="3366FF"/>
          <w:sz w:val="22"/>
          <w:szCs w:val="22"/>
          <w:lang w:val="fr-CA"/>
        </w:rPr>
        <w:t xml:space="preserve"> </w:t>
      </w:r>
      <w:r w:rsidRPr="00C014F4">
        <w:rPr>
          <w:rFonts w:ascii="Arial" w:eastAsia="Arial" w:hAnsi="Arial" w:cs="Arial"/>
          <w:sz w:val="22"/>
          <w:szCs w:val="22"/>
          <w:lang w:val="fr-CA"/>
        </w:rPr>
        <w:t xml:space="preserve">a </w:t>
      </w:r>
      <w:r w:rsidRPr="00587A37">
        <w:rPr>
          <w:rFonts w:ascii="Arial" w:eastAsia="Arial" w:hAnsi="Arial" w:cs="Arial"/>
          <w:sz w:val="22"/>
          <w:szCs w:val="22"/>
          <w:lang w:val="fr-CA"/>
        </w:rPr>
        <w:t xml:space="preserve">établi le code des services sans fil qui explique les droits des consommateurs et les règles que doivent suivre les fournisseurs de services sans fil. </w:t>
      </w:r>
      <w:hyperlink r:id="rId12" w:history="1">
        <w:r w:rsidRPr="00C014F4">
          <w:rPr>
            <w:rStyle w:val="Hyperlink"/>
            <w:rFonts w:ascii="Arial" w:eastAsia="Arial" w:hAnsi="Arial" w:cs="Arial"/>
            <w:color w:val="0000FF"/>
            <w:sz w:val="22"/>
            <w:szCs w:val="22"/>
            <w:lang w:val="fr-CA"/>
          </w:rPr>
          <w:t>Le code des communications sans fil</w:t>
        </w:r>
      </w:hyperlink>
      <w:r w:rsidRPr="00C014F4">
        <w:rPr>
          <w:rFonts w:ascii="Arial" w:eastAsia="Arial" w:hAnsi="Arial" w:cs="Arial"/>
          <w:color w:val="0000FF"/>
          <w:sz w:val="22"/>
          <w:szCs w:val="22"/>
          <w:lang w:val="fr-CA"/>
        </w:rPr>
        <w:t xml:space="preserve"> </w:t>
      </w:r>
      <w:r w:rsidRPr="00587A37">
        <w:rPr>
          <w:rFonts w:ascii="Arial" w:eastAsia="Arial" w:hAnsi="Arial" w:cs="Arial"/>
          <w:sz w:val="22"/>
          <w:szCs w:val="22"/>
          <w:lang w:val="fr-CA"/>
        </w:rPr>
        <w:t>énonce les droits fondamentaux de tous les consommateurs de services sans fil au Canada, ainsi que certains droits supplémentaires pour les personnes sourdes, sourdes</w:t>
      </w:r>
      <w:r w:rsidR="00861296" w:rsidRPr="00587A37">
        <w:rPr>
          <w:rFonts w:ascii="Arial" w:eastAsia="Arial" w:hAnsi="Arial" w:cs="Arial"/>
          <w:sz w:val="22"/>
          <w:szCs w:val="22"/>
          <w:lang w:val="fr-CA"/>
        </w:rPr>
        <w:t xml:space="preserve"> - </w:t>
      </w:r>
      <w:r w:rsidRPr="00587A37">
        <w:rPr>
          <w:rFonts w:ascii="Arial" w:eastAsia="Arial" w:hAnsi="Arial" w:cs="Arial"/>
          <w:sz w:val="22"/>
          <w:szCs w:val="22"/>
          <w:lang w:val="fr-CA"/>
        </w:rPr>
        <w:t xml:space="preserve">aveugles et malentendantes. Des vidéos </w:t>
      </w:r>
      <w:r w:rsidR="00861296" w:rsidRPr="00587A37">
        <w:rPr>
          <w:rFonts w:ascii="Arial" w:eastAsia="Arial" w:hAnsi="Arial" w:cs="Arial"/>
          <w:sz w:val="22"/>
          <w:szCs w:val="22"/>
          <w:lang w:val="fr-CA"/>
        </w:rPr>
        <w:t xml:space="preserve">en </w:t>
      </w:r>
      <w:hyperlink r:id="rId13" w:history="1">
        <w:r w:rsidR="00861296" w:rsidRPr="00C014F4">
          <w:rPr>
            <w:rStyle w:val="Hyperlink"/>
            <w:rFonts w:ascii="Arial" w:eastAsia="Arial" w:hAnsi="Arial" w:cs="Arial"/>
            <w:color w:val="0000FF"/>
            <w:sz w:val="22"/>
            <w:szCs w:val="22"/>
            <w:lang w:val="fr-CA"/>
          </w:rPr>
          <w:t>LSQ</w:t>
        </w:r>
      </w:hyperlink>
      <w:r w:rsidRPr="00587A37">
        <w:rPr>
          <w:rFonts w:ascii="Arial" w:eastAsia="Arial" w:hAnsi="Arial" w:cs="Arial"/>
          <w:sz w:val="22"/>
          <w:szCs w:val="22"/>
          <w:lang w:val="fr-CA"/>
        </w:rPr>
        <w:t xml:space="preserve"> et </w:t>
      </w:r>
      <w:hyperlink r:id="rId14" w:history="1">
        <w:r w:rsidR="00861296" w:rsidRPr="00C014F4">
          <w:rPr>
            <w:rStyle w:val="Hyperlink"/>
            <w:rFonts w:ascii="Arial" w:eastAsia="Arial" w:hAnsi="Arial" w:cs="Arial"/>
            <w:color w:val="0000FF"/>
            <w:sz w:val="22"/>
            <w:szCs w:val="22"/>
            <w:lang w:val="fr-CA"/>
          </w:rPr>
          <w:t>ASL</w:t>
        </w:r>
      </w:hyperlink>
      <w:r w:rsidRPr="00C014F4">
        <w:rPr>
          <w:rFonts w:ascii="Arial" w:eastAsia="Arial" w:hAnsi="Arial" w:cs="Arial"/>
          <w:color w:val="0000FF"/>
          <w:sz w:val="22"/>
          <w:szCs w:val="22"/>
          <w:lang w:val="fr-CA"/>
        </w:rPr>
        <w:t xml:space="preserve"> </w:t>
      </w:r>
      <w:r w:rsidRPr="00587A37">
        <w:rPr>
          <w:rFonts w:ascii="Arial" w:eastAsia="Arial" w:hAnsi="Arial" w:cs="Arial"/>
          <w:sz w:val="22"/>
          <w:szCs w:val="22"/>
          <w:lang w:val="fr-CA"/>
        </w:rPr>
        <w:t>ont été produites sur le code sans fil.</w:t>
      </w:r>
    </w:p>
    <w:p w14:paraId="5845DC3E" w14:textId="77777777" w:rsidR="00D12DE3" w:rsidRPr="00587A37" w:rsidRDefault="00D12DE3" w:rsidP="00587A37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  <w:lang w:val="fr-CA"/>
        </w:rPr>
      </w:pPr>
    </w:p>
    <w:p w14:paraId="78498FE1" w14:textId="2988517F" w:rsidR="000704A0" w:rsidRPr="00587A37" w:rsidRDefault="000704A0" w:rsidP="00587A37">
      <w:pPr>
        <w:pStyle w:val="Normal2"/>
        <w:contextualSpacing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87A37">
        <w:rPr>
          <w:rFonts w:ascii="Arial" w:eastAsia="Arial" w:hAnsi="Arial" w:cs="Arial"/>
          <w:sz w:val="22"/>
          <w:szCs w:val="22"/>
          <w:lang w:val="fr-CA"/>
        </w:rPr>
        <w:t>Pendant la pandémie COVID-19, les entreprises de téléphonie mobile ont adapté leur service d'assistance aux clients. L</w:t>
      </w:r>
      <w:r w:rsidR="00861296" w:rsidRPr="00587A37">
        <w:rPr>
          <w:rFonts w:ascii="Arial" w:eastAsia="Arial" w:hAnsi="Arial" w:cs="Arial"/>
          <w:sz w:val="22"/>
          <w:szCs w:val="22"/>
          <w:lang w:val="fr-CA"/>
        </w:rPr>
        <w:t xml:space="preserve">’ASC-CAD </w:t>
      </w:r>
      <w:r w:rsidRPr="00587A37">
        <w:rPr>
          <w:rFonts w:ascii="Arial" w:eastAsia="Arial" w:hAnsi="Arial" w:cs="Arial"/>
          <w:sz w:val="22"/>
          <w:szCs w:val="22"/>
          <w:lang w:val="fr-CA"/>
        </w:rPr>
        <w:t xml:space="preserve">et le </w:t>
      </w:r>
      <w:r w:rsidR="00861296" w:rsidRPr="00587A37">
        <w:rPr>
          <w:rFonts w:ascii="Arial" w:eastAsia="Arial" w:hAnsi="Arial" w:cs="Arial"/>
          <w:sz w:val="22"/>
          <w:szCs w:val="22"/>
          <w:lang w:val="fr-CA"/>
        </w:rPr>
        <w:t>CSSSC</w:t>
      </w:r>
      <w:r w:rsidRPr="00587A37">
        <w:rPr>
          <w:rFonts w:ascii="Arial" w:eastAsia="Arial" w:hAnsi="Arial" w:cs="Arial"/>
          <w:sz w:val="22"/>
          <w:szCs w:val="22"/>
          <w:lang w:val="fr-CA"/>
        </w:rPr>
        <w:t xml:space="preserve"> ont rassemblé ces informations pour vous aider au cas où vous vous poseriez des questions sur vos services sans fil pendant la pandémie. Veuillez garder à l'esprit que ces informations p</w:t>
      </w:r>
      <w:r w:rsidR="00861296" w:rsidRPr="00587A37">
        <w:rPr>
          <w:rFonts w:ascii="Arial" w:eastAsia="Arial" w:hAnsi="Arial" w:cs="Arial"/>
          <w:sz w:val="22"/>
          <w:szCs w:val="22"/>
          <w:lang w:val="fr-CA"/>
        </w:rPr>
        <w:t xml:space="preserve">ourraient </w:t>
      </w:r>
      <w:r w:rsidRPr="00587A37">
        <w:rPr>
          <w:rFonts w:ascii="Arial" w:eastAsia="Arial" w:hAnsi="Arial" w:cs="Arial"/>
          <w:sz w:val="22"/>
          <w:szCs w:val="22"/>
          <w:lang w:val="fr-CA"/>
        </w:rPr>
        <w:t>changer et que les fournisseurs de services sans fil p</w:t>
      </w:r>
      <w:r w:rsidR="00861296" w:rsidRPr="00587A37">
        <w:rPr>
          <w:rFonts w:ascii="Arial" w:eastAsia="Arial" w:hAnsi="Arial" w:cs="Arial"/>
          <w:sz w:val="22"/>
          <w:szCs w:val="22"/>
          <w:lang w:val="fr-CA"/>
        </w:rPr>
        <w:t xml:space="preserve">ourraient </w:t>
      </w:r>
      <w:r w:rsidRPr="00587A37">
        <w:rPr>
          <w:rFonts w:ascii="Arial" w:eastAsia="Arial" w:hAnsi="Arial" w:cs="Arial"/>
          <w:sz w:val="22"/>
          <w:szCs w:val="22"/>
          <w:lang w:val="fr-CA"/>
        </w:rPr>
        <w:t>mettre à jour leurs politiques en matière de téléphonie sans fil à tout moment pendant la pandémie COVID-19.</w:t>
      </w:r>
    </w:p>
    <w:p w14:paraId="4341E042" w14:textId="77777777" w:rsidR="00D12DE3" w:rsidRPr="00587A37" w:rsidRDefault="00D12DE3" w:rsidP="00587A37">
      <w:pPr>
        <w:contextualSpacing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14:paraId="3090958E" w14:textId="214780C7" w:rsidR="0037581A" w:rsidRPr="00587A37" w:rsidRDefault="0037581A" w:rsidP="00587A37">
      <w:pPr>
        <w:pStyle w:val="Normal2"/>
        <w:contextualSpacing/>
        <w:jc w:val="both"/>
        <w:rPr>
          <w:rFonts w:ascii="Arial" w:eastAsia="Arial" w:hAnsi="Arial" w:cs="Arial"/>
          <w:sz w:val="22"/>
          <w:szCs w:val="22"/>
          <w:lang w:val="fr-CA"/>
        </w:rPr>
      </w:pPr>
      <w:r w:rsidRPr="00587A37">
        <w:rPr>
          <w:rFonts w:ascii="Arial" w:eastAsia="Arial" w:hAnsi="Arial" w:cs="Arial"/>
          <w:sz w:val="22"/>
          <w:szCs w:val="22"/>
          <w:lang w:val="fr-CA"/>
        </w:rPr>
        <w:t>En général, les fournisseurs de services sans fil et de services inter</w:t>
      </w:r>
      <w:r w:rsidR="00D75044" w:rsidRPr="00587A37">
        <w:rPr>
          <w:rFonts w:ascii="Arial" w:eastAsia="Arial" w:hAnsi="Arial" w:cs="Arial"/>
          <w:sz w:val="22"/>
          <w:szCs w:val="22"/>
          <w:lang w:val="fr-CA"/>
        </w:rPr>
        <w:t>net ont été reconnus comme des « </w:t>
      </w:r>
      <w:r w:rsidRPr="00587A37">
        <w:rPr>
          <w:rFonts w:ascii="Arial" w:eastAsia="Arial" w:hAnsi="Arial" w:cs="Arial"/>
          <w:sz w:val="22"/>
          <w:szCs w:val="22"/>
          <w:lang w:val="fr-CA"/>
        </w:rPr>
        <w:t>fournisseurs de services essentiels</w:t>
      </w:r>
      <w:r w:rsidR="00D75044" w:rsidRPr="00587A37">
        <w:rPr>
          <w:rFonts w:ascii="Arial" w:eastAsia="Arial" w:hAnsi="Arial" w:cs="Arial"/>
          <w:sz w:val="22"/>
          <w:szCs w:val="22"/>
          <w:lang w:val="fr-CA"/>
        </w:rPr>
        <w:t> »</w:t>
      </w:r>
      <w:r w:rsidRPr="00587A37">
        <w:rPr>
          <w:rFonts w:ascii="Arial" w:eastAsia="Arial" w:hAnsi="Arial" w:cs="Arial"/>
          <w:sz w:val="22"/>
          <w:szCs w:val="22"/>
          <w:lang w:val="fr-CA"/>
        </w:rPr>
        <w:t xml:space="preserve">, avec des magasins sélectionnés ouverts à des heures réduites dans tout le pays. Au fur et à mesure que les provinces réduiront progressivement les restrictions, un plus grand nombre de magasins pourraient ouvrir dans certaines régions. Afin de protéger la santé et le bien-être des employés et des clients, des mesures sanitaires supplémentaires seront en vigueur dans tous les magasins ouverts. Veuillez consulter les sites </w:t>
      </w:r>
      <w:r w:rsidR="00D75044" w:rsidRPr="00587A37">
        <w:rPr>
          <w:rFonts w:ascii="Arial" w:eastAsia="Arial" w:hAnsi="Arial" w:cs="Arial"/>
          <w:sz w:val="22"/>
          <w:szCs w:val="22"/>
          <w:lang w:val="fr-CA"/>
        </w:rPr>
        <w:t>W</w:t>
      </w:r>
      <w:r w:rsidRPr="00587A37">
        <w:rPr>
          <w:rFonts w:ascii="Arial" w:eastAsia="Arial" w:hAnsi="Arial" w:cs="Arial"/>
          <w:sz w:val="22"/>
          <w:szCs w:val="22"/>
          <w:lang w:val="fr-CA"/>
        </w:rPr>
        <w:t>eb des entreprises pour plus de détails, mais voici les informations générales mises à jour au 24 mai 2020 :</w:t>
      </w:r>
    </w:p>
    <w:p w14:paraId="61DDE062" w14:textId="77777777" w:rsidR="00D12DE3" w:rsidRPr="00587A37" w:rsidRDefault="00D12DE3" w:rsidP="00587A37">
      <w:pPr>
        <w:jc w:val="both"/>
        <w:rPr>
          <w:rFonts w:ascii="Arial" w:eastAsia="Arial" w:hAnsi="Arial" w:cs="Arial"/>
          <w:color w:val="000000"/>
          <w:sz w:val="22"/>
          <w:szCs w:val="22"/>
          <w:lang w:val="fr-CA"/>
        </w:rPr>
      </w:pPr>
    </w:p>
    <w:tbl>
      <w:tblPr>
        <w:tblStyle w:val="a0"/>
        <w:tblW w:w="1063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9405"/>
      </w:tblGrid>
      <w:tr w:rsidR="00587A37" w:rsidRPr="00587A37" w14:paraId="25EFC6FE" w14:textId="77777777" w:rsidTr="00587A37">
        <w:trPr>
          <w:trHeight w:val="1692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F9B4" w14:textId="77777777" w:rsidR="00D12DE3" w:rsidRPr="00587A37" w:rsidRDefault="00770E2E" w:rsidP="00587A3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5">
              <w:r w:rsidR="00A017B9" w:rsidRPr="00587A37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Bell</w:t>
              </w:r>
            </w:hyperlink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6B61" w14:textId="4F2421CB" w:rsidR="0037581A" w:rsidRP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● Bell assure</w:t>
            </w:r>
            <w:r w:rsidR="00D75044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ra</w:t>
            </w: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l'entretien, les réparations et les installations à l'extérieur du domicile du client.</w:t>
            </w:r>
          </w:p>
          <w:p w14:paraId="4FD23903" w14:textId="77777777" w:rsidR="0037581A" w:rsidRP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Bell a renoncé à un certain nombre de frais et a prévu une utilisation et des crédits supplémentaires pour les clients d'Internet et de </w:t>
            </w: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Mobility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.</w:t>
            </w:r>
          </w:p>
          <w:p w14:paraId="4EE1FA96" w14:textId="77777777" w:rsidR="0037581A" w:rsidRP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● A fourni des options de paiement flexibles pour certains clients confrontés à des difficultés financières.</w:t>
            </w:r>
          </w:p>
          <w:p w14:paraId="4E5725CE" w14:textId="77777777" w:rsidR="0037581A" w:rsidRP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Les clients disposant de Turbo Hubs, de clés Turbo et de </w:t>
            </w: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Mi-Fi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recevront 10 Go de données supplémentaires. </w:t>
            </w:r>
          </w:p>
          <w:p w14:paraId="5DBACDE5" w14:textId="77777777" w:rsid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Bell ne facturera pas de frais d'utilisation supplémentaires pour l'Internet à domicile </w:t>
            </w:r>
            <w:r w:rsidR="00D75044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jusqu’au </w:t>
            </w: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30 avril.</w:t>
            </w:r>
          </w:p>
          <w:p w14:paraId="78CE85CB" w14:textId="330BD51B" w:rsidR="0037581A" w:rsidRPr="00587A37" w:rsidRDefault="00587A37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</w:t>
            </w:r>
            <w:r w:rsidR="0037581A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Il n'y aura pas de frais d'itinérance pour les clients dans les pays autres que le Canada.</w:t>
            </w:r>
          </w:p>
        </w:tc>
      </w:tr>
      <w:tr w:rsidR="00587A37" w:rsidRPr="00587A37" w14:paraId="1BB2EE31" w14:textId="77777777" w:rsidTr="00587A37">
        <w:trPr>
          <w:trHeight w:val="1932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B6B1" w14:textId="77777777" w:rsidR="00D12DE3" w:rsidRPr="00587A37" w:rsidRDefault="00770E2E" w:rsidP="00587A3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6">
              <w:r w:rsidR="00A017B9" w:rsidRPr="00587A37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Rogers</w:t>
              </w:r>
            </w:hyperlink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C1A6" w14:textId="6A2CF76E" w:rsidR="0037581A" w:rsidRPr="00587A37" w:rsidRDefault="0037581A" w:rsidP="00587A37">
            <w:pPr>
              <w:pStyle w:val="Normal2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À partir du 16 mars, les comptes de téléphonie mobile de Rogers ne seront ni suspendus ni déconnectés, jusqu'au 30 juin pour les clients connaissant des difficultés financières.</w:t>
            </w:r>
          </w:p>
          <w:p w14:paraId="1117E502" w14:textId="6FAE1DB1" w:rsidR="0037581A" w:rsidRPr="00587A37" w:rsidRDefault="0037581A" w:rsidP="00587A37">
            <w:pPr>
              <w:pStyle w:val="Normal2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Rogers soutiendra les clients de la téléphonie mobile qui ont des difficultés à payer la facture, avec des options de paiement différentes et flexibles. </w:t>
            </w:r>
          </w:p>
          <w:p w14:paraId="5CB94030" w14:textId="0D141353" w:rsidR="0037581A" w:rsidRPr="00587A37" w:rsidRDefault="0037581A" w:rsidP="00587A37">
            <w:pPr>
              <w:pStyle w:val="Normal2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Pour vous aider à rester connecté, Rogers renoncera aux frais. </w:t>
            </w:r>
          </w:p>
          <w:p w14:paraId="49E04FB2" w14:textId="6E1EF555" w:rsidR="0037581A" w:rsidRPr="00587A37" w:rsidRDefault="0037581A" w:rsidP="00587A37">
            <w:pPr>
              <w:pStyle w:val="Normal2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Rogers ne facturera pas les appels interurbains au Canada pour les services sans fil </w:t>
            </w:r>
            <w:r w:rsidR="00D75044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jusqu’au</w:t>
            </w: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30 juin.</w:t>
            </w:r>
          </w:p>
          <w:p w14:paraId="2D43C395" w14:textId="7452F20F" w:rsidR="0037581A" w:rsidRPr="00587A37" w:rsidRDefault="0037581A" w:rsidP="00587A37">
            <w:pPr>
              <w:pStyle w:val="Normal2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Il n'y aura pas de frais d'itinérance pour les clients de services sans fil dans les pays autres que le Canada.</w:t>
            </w:r>
          </w:p>
        </w:tc>
      </w:tr>
      <w:tr w:rsidR="00587A37" w:rsidRPr="00587A37" w14:paraId="608BD582" w14:textId="77777777" w:rsidTr="00587A37">
        <w:trPr>
          <w:trHeight w:val="114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9715" w14:textId="77777777" w:rsidR="00D12DE3" w:rsidRPr="00587A37" w:rsidRDefault="00770E2E" w:rsidP="00587A37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17">
              <w:proofErr w:type="spellStart"/>
              <w:r w:rsidR="00A017B9" w:rsidRPr="00587A37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Telus</w:t>
              </w:r>
              <w:proofErr w:type="spellEnd"/>
            </w:hyperlink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CF9D" w14:textId="77777777" w:rsidR="0037581A" w:rsidRP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Telus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assure l'entretien, les réparations et les installations à l'extérieur du domicile du client.</w:t>
            </w:r>
          </w:p>
          <w:p w14:paraId="3025C088" w14:textId="77777777" w:rsidR="0037581A" w:rsidRP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Telus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travaillera avec les clients qui ont des difficultés à payer la facture.</w:t>
            </w:r>
          </w:p>
          <w:p w14:paraId="3357FD0B" w14:textId="77777777" w:rsidR="0037581A" w:rsidRPr="00587A37" w:rsidRDefault="0037581A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Telus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reporte toute déconnexion jusqu'à nouvel ordre et permet le renouvellement automatique des plans d'extension et des plans tarifaires de 30 jours.</w:t>
            </w:r>
          </w:p>
          <w:p w14:paraId="58DE3B0A" w14:textId="40350BD3" w:rsidR="0037581A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Du </w:t>
            </w:r>
            <w:r w:rsidR="0037581A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13 mars au 3</w:t>
            </w:r>
            <w:r w:rsidR="00356C26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0</w:t>
            </w:r>
            <w:r w:rsidR="0037581A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avril, les clients n'auront pas à payer de frais d'itinérance.</w:t>
            </w:r>
          </w:p>
        </w:tc>
      </w:tr>
      <w:tr w:rsidR="00587A37" w:rsidRPr="00587A37" w14:paraId="47B56440" w14:textId="77777777" w:rsidTr="00587A37">
        <w:trPr>
          <w:trHeight w:val="1140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C520" w14:textId="77777777" w:rsidR="00D12DE3" w:rsidRPr="00770E2E" w:rsidRDefault="00770E2E" w:rsidP="00587A37">
            <w:pPr>
              <w:rPr>
                <w:rFonts w:ascii="Arial" w:eastAsia="Arial" w:hAnsi="Arial" w:cs="Arial"/>
                <w:b/>
                <w:color w:val="0000FF"/>
                <w:sz w:val="22"/>
                <w:szCs w:val="22"/>
                <w:u w:val="single"/>
              </w:rPr>
            </w:pPr>
            <w:hyperlink r:id="rId18" w:anchor="storesopen">
              <w:proofErr w:type="spellStart"/>
              <w:r w:rsidR="00A017B9" w:rsidRPr="00770E2E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Sasktel</w:t>
              </w:r>
              <w:proofErr w:type="spellEnd"/>
            </w:hyperlink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65FF" w14:textId="77777777" w:rsidR="00027A83" w:rsidRPr="00587A37" w:rsidRDefault="00027A83" w:rsidP="00587A37">
            <w:pPr>
              <w:pStyle w:val="Normal2"/>
              <w:rPr>
                <w:rFonts w:ascii="Arial" w:eastAsia="Helvetica Neue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Sasktel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 assure l'entretien, les réparations et les installations à l'extérieur du domicile du client.</w:t>
            </w:r>
          </w:p>
          <w:p w14:paraId="18229652" w14:textId="77777777" w:rsidR="00027A83" w:rsidRPr="00587A37" w:rsidRDefault="00027A83" w:rsidP="00587A37">
            <w:pPr>
              <w:pStyle w:val="Normal2"/>
              <w:rPr>
                <w:rFonts w:ascii="Arial" w:eastAsia="Helvetica Neue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● À partir du 19 mai 2020, les magasins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SaskTel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 seront à nouveau entièrement ouverts à tous les clients, tout en continuant à offrir des options de rendez-vous et de ramassage sur le trottoir.</w:t>
            </w:r>
          </w:p>
          <w:p w14:paraId="01ED817D" w14:textId="77777777" w:rsidR="00027A83" w:rsidRPr="00587A37" w:rsidRDefault="00027A83" w:rsidP="00587A37">
            <w:pPr>
              <w:pStyle w:val="Normal2"/>
              <w:rPr>
                <w:rFonts w:ascii="Arial" w:eastAsia="Helvetica Neue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Sasktel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 assurera l'entretien, les réparation</w:t>
            </w:r>
            <w:bookmarkStart w:id="0" w:name="_GoBack"/>
            <w:bookmarkEnd w:id="0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 et les installations à partir de l'extérieur du domicile du client.</w:t>
            </w:r>
          </w:p>
          <w:p w14:paraId="0F8D46A5" w14:textId="77777777" w:rsidR="00027A83" w:rsidRPr="00587A37" w:rsidRDefault="00027A83" w:rsidP="00587A37">
            <w:pPr>
              <w:pStyle w:val="Normal2"/>
              <w:rPr>
                <w:rFonts w:ascii="Arial" w:eastAsia="Helvetica Neue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Sasktel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 travaillera avec les clients de la téléphonie mobile qui ont des difficultés à payer la facture.</w:t>
            </w:r>
          </w:p>
          <w:p w14:paraId="39DBDE31" w14:textId="77777777" w:rsidR="00027A83" w:rsidRPr="00587A37" w:rsidRDefault="00027A83" w:rsidP="00587A37">
            <w:pPr>
              <w:pStyle w:val="Normal2"/>
              <w:rPr>
                <w:rFonts w:ascii="Arial" w:eastAsia="Helvetica Neue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Sasktel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 renonce aux frais de dépassement de capacité de transmission de données jusqu'au 30 avril 2020. </w:t>
            </w:r>
          </w:p>
          <w:p w14:paraId="110D5653" w14:textId="42E7DBC3" w:rsidR="00027A83" w:rsidRPr="00587A37" w:rsidRDefault="00027A83" w:rsidP="00587A37">
            <w:pPr>
              <w:pStyle w:val="Normal2"/>
              <w:rPr>
                <w:rFonts w:ascii="Arial" w:eastAsia="Helvetica Neue" w:hAnsi="Arial" w:cs="Arial"/>
                <w:sz w:val="22"/>
                <w:szCs w:val="22"/>
                <w:highlight w:val="white"/>
                <w:lang w:val="fr-CA"/>
              </w:rPr>
            </w:pPr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●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Sasktel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 ne facturera pas de frais de dépassement de capacité (pour les données utilisées au Canada) pour les clients d'affaires ou les consommateurs qui souscrivent à des forfaits sans fil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postpayés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 xml:space="preserve"> de </w:t>
            </w:r>
            <w:proofErr w:type="spellStart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SaskTel</w:t>
            </w:r>
            <w:proofErr w:type="spellEnd"/>
            <w:r w:rsidRPr="00587A37">
              <w:rPr>
                <w:rFonts w:ascii="Arial" w:eastAsia="Helvetica Neue" w:hAnsi="Arial" w:cs="Arial"/>
                <w:sz w:val="22"/>
                <w:szCs w:val="22"/>
                <w:lang w:val="fr-CA"/>
              </w:rPr>
              <w:t>,</w:t>
            </w:r>
          </w:p>
        </w:tc>
      </w:tr>
      <w:tr w:rsidR="00587A37" w:rsidRPr="00587A37" w14:paraId="0E5E8CEF" w14:textId="77777777" w:rsidTr="00587A37">
        <w:trPr>
          <w:trHeight w:val="1692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CAA3" w14:textId="77777777" w:rsidR="00D12DE3" w:rsidRPr="00587A37" w:rsidRDefault="00770E2E" w:rsidP="00587A3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9">
              <w:proofErr w:type="spellStart"/>
              <w:r w:rsidR="00A017B9" w:rsidRPr="00587A37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Vidéotron</w:t>
              </w:r>
              <w:proofErr w:type="spellEnd"/>
            </w:hyperlink>
            <w:r w:rsidR="00A017B9" w:rsidRPr="00587A37"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E4A7" w14:textId="5F21C2E4" w:rsidR="00587A37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À partir du 25 mai, les magasins avec leur propre </w:t>
            </w:r>
            <w:proofErr w:type="gram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entrée</w:t>
            </w:r>
            <w:proofErr w:type="gram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de rue seront prêts à vous accueillir, du lundi au dimanche, partout au Québec.</w:t>
            </w:r>
          </w:p>
          <w:p w14:paraId="048E1434" w14:textId="77777777" w:rsidR="00027A83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Les magasins d'Ottawa restent fermés car ils sont tous situés dans des centres commerciaux. </w:t>
            </w:r>
          </w:p>
          <w:p w14:paraId="59A9CC2E" w14:textId="77777777" w:rsidR="00027A83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● Vidéotron effectuera l'entretien, les réparations et les installations à partir de l'extérieur du domicile du client.</w:t>
            </w:r>
          </w:p>
          <w:p w14:paraId="620AF0E0" w14:textId="77777777" w:rsidR="00027A83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● Vidéotron travaillera avec les clients qui ont des difficultés à payer la facture, ils examineront chaque situation au cas par cas pour aider les clients comme ils le peuvent.</w:t>
            </w:r>
          </w:p>
          <w:p w14:paraId="58C7BE5B" w14:textId="77777777" w:rsidR="00027A83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● Toutes les limites de données (</w:t>
            </w:r>
            <w:r w:rsidRPr="00587A37">
              <w:rPr>
                <w:rFonts w:ascii="Arial" w:eastAsia="Arial" w:hAnsi="Arial" w:cs="Arial"/>
                <w:i/>
                <w:sz w:val="22"/>
                <w:szCs w:val="22"/>
                <w:lang w:val="fr-CA"/>
              </w:rPr>
              <w:t xml:space="preserve">data plan </w:t>
            </w:r>
            <w:proofErr w:type="spellStart"/>
            <w:r w:rsidRPr="00587A37">
              <w:rPr>
                <w:rFonts w:ascii="Arial" w:eastAsia="Arial" w:hAnsi="Arial" w:cs="Arial"/>
                <w:i/>
                <w:sz w:val="22"/>
                <w:szCs w:val="22"/>
                <w:lang w:val="fr-CA"/>
              </w:rPr>
              <w:t>limits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) ont été supprimées pour les forfaits internet. </w:t>
            </w:r>
          </w:p>
          <w:p w14:paraId="01DE8201" w14:textId="77777777" w:rsidR="00027A83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● Les clients n'auront plus à payer de frais d'itinérance jusqu'au 30 juin. </w:t>
            </w:r>
          </w:p>
          <w:p w14:paraId="56296D9A" w14:textId="502E04C7" w:rsidR="00027A83" w:rsidRPr="00587A37" w:rsidRDefault="00027A83" w:rsidP="00587A37">
            <w:pPr>
              <w:pStyle w:val="Normal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● Il n'y aura pas de frais d'itinérance pour les clients dans les pays autres que le Canada.</w:t>
            </w:r>
          </w:p>
        </w:tc>
      </w:tr>
      <w:tr w:rsidR="00587A37" w:rsidRPr="00587A37" w14:paraId="7FA40E89" w14:textId="77777777" w:rsidTr="00587A37">
        <w:trPr>
          <w:trHeight w:val="749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5416" w14:textId="77777777" w:rsidR="00D12DE3" w:rsidRPr="00587A37" w:rsidRDefault="00770E2E" w:rsidP="00587A37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20">
              <w:proofErr w:type="spellStart"/>
              <w:r w:rsidR="00A017B9" w:rsidRPr="00587A37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Eastlink</w:t>
              </w:r>
              <w:proofErr w:type="spellEnd"/>
            </w:hyperlink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B383" w14:textId="77777777" w:rsidR="00991A54" w:rsidRPr="00587A37" w:rsidRDefault="00970CBD" w:rsidP="00587A37">
            <w:pPr>
              <w:pStyle w:val="Normal2"/>
              <w:numPr>
                <w:ilvl w:val="0"/>
                <w:numId w:val="5"/>
              </w:numPr>
              <w:ind w:left="111" w:hanging="14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Eastlink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assurera le service, </w:t>
            </w:r>
            <w:r w:rsidR="00991A54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les réparations et les installations de l’extérieur du domicile du client.</w:t>
            </w:r>
          </w:p>
          <w:p w14:paraId="66C89386" w14:textId="5A71BEBD" w:rsidR="00991A54" w:rsidRPr="00587A37" w:rsidRDefault="00991A54" w:rsidP="00587A37">
            <w:pPr>
              <w:pStyle w:val="Normal2"/>
              <w:numPr>
                <w:ilvl w:val="0"/>
                <w:numId w:val="5"/>
              </w:numPr>
              <w:ind w:left="111" w:hanging="14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Eastlink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travaillera avec les clients qui ont des difficultés à payer l</w:t>
            </w:r>
            <w:r w:rsidR="00356C26"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a</w:t>
            </w: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facture de téléphonie mobile.</w:t>
            </w:r>
          </w:p>
          <w:p w14:paraId="37D0681A" w14:textId="5AC346CA" w:rsidR="00991A54" w:rsidRPr="00587A37" w:rsidRDefault="00991A54" w:rsidP="00587A37">
            <w:pPr>
              <w:pStyle w:val="Normal2"/>
              <w:numPr>
                <w:ilvl w:val="0"/>
                <w:numId w:val="5"/>
              </w:numPr>
              <w:ind w:left="111" w:hanging="14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Il n'y aura pas de frais d'itinérance pour les clients situés dans des pays autres que le Canada. </w:t>
            </w:r>
          </w:p>
          <w:p w14:paraId="6C39C76A" w14:textId="7F1AC13E" w:rsidR="00970CBD" w:rsidRPr="00587A37" w:rsidRDefault="00991A54" w:rsidP="00587A37">
            <w:pPr>
              <w:pStyle w:val="Normal2"/>
              <w:numPr>
                <w:ilvl w:val="0"/>
                <w:numId w:val="5"/>
              </w:numPr>
              <w:ind w:left="111" w:hanging="142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proofErr w:type="spellStart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>Eastlink</w:t>
            </w:r>
            <w:proofErr w:type="spellEnd"/>
            <w:r w:rsidRPr="00587A37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ne facturera pas les appels interurbains au Canada pour les clients des services sans fil qui ne bénéficient pas d'un forfait national.</w:t>
            </w:r>
          </w:p>
        </w:tc>
      </w:tr>
    </w:tbl>
    <w:p w14:paraId="53CEA6AA" w14:textId="77777777" w:rsidR="00D12DE3" w:rsidRPr="00587A37" w:rsidRDefault="00D12DE3" w:rsidP="00587A37">
      <w:pPr>
        <w:jc w:val="both"/>
        <w:rPr>
          <w:rFonts w:ascii="Arial" w:eastAsia="Arial" w:hAnsi="Arial" w:cs="Arial"/>
          <w:b/>
          <w:sz w:val="22"/>
          <w:szCs w:val="22"/>
          <w:lang w:val="fr-CA"/>
        </w:rPr>
      </w:pPr>
    </w:p>
    <w:sectPr w:rsidR="00D12DE3" w:rsidRPr="00587A37" w:rsidSect="00587A37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426" w:right="900" w:bottom="1440" w:left="851" w:header="142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41A01" w14:textId="77777777" w:rsidR="00BB650F" w:rsidRDefault="00BB650F">
      <w:r>
        <w:separator/>
      </w:r>
    </w:p>
  </w:endnote>
  <w:endnote w:type="continuationSeparator" w:id="0">
    <w:p w14:paraId="62D3352D" w14:textId="77777777" w:rsidR="00BB650F" w:rsidRDefault="00BB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2B060" w14:textId="77777777" w:rsidR="00D12DE3" w:rsidRDefault="00D12DE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5D84" w14:textId="77777777" w:rsidR="00D12DE3" w:rsidRDefault="00D12DE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80F59" w14:textId="77777777" w:rsidR="00BB650F" w:rsidRDefault="00BB650F">
      <w:r>
        <w:separator/>
      </w:r>
    </w:p>
  </w:footnote>
  <w:footnote w:type="continuationSeparator" w:id="0">
    <w:p w14:paraId="04235600" w14:textId="77777777" w:rsidR="00BB650F" w:rsidRDefault="00BB65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9228" w14:textId="77777777" w:rsidR="00D12DE3" w:rsidRDefault="00D12DE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41A9F" w14:textId="2F4FF3E1" w:rsidR="00D12DE3" w:rsidRDefault="00D12DE3" w:rsidP="00587A37">
    <w:pPr>
      <w:pBdr>
        <w:top w:val="nil"/>
        <w:left w:val="nil"/>
        <w:bottom w:val="nil"/>
        <w:right w:val="nil"/>
        <w:between w:val="nil"/>
      </w:pBdr>
      <w:spacing w:line="276" w:lineRule="auto"/>
      <w:ind w:right="-630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C5D"/>
    <w:multiLevelType w:val="hybridMultilevel"/>
    <w:tmpl w:val="9CF27752"/>
    <w:lvl w:ilvl="0" w:tplc="A4C45EFC">
      <w:start w:val="1"/>
      <w:numFmt w:val="bullet"/>
      <w:lvlText w:val=""/>
      <w:lvlJc w:val="left"/>
      <w:pPr>
        <w:ind w:left="720" w:hanging="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4136"/>
    <w:multiLevelType w:val="multilevel"/>
    <w:tmpl w:val="FAECD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D958DF"/>
    <w:multiLevelType w:val="multilevel"/>
    <w:tmpl w:val="A3F6A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4120"/>
    <w:multiLevelType w:val="multilevel"/>
    <w:tmpl w:val="499A0C64"/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99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1710" w:hanging="270"/>
      </w:pPr>
      <w:rPr>
        <w:u w:val="none"/>
      </w:rPr>
    </w:lvl>
    <w:lvl w:ilvl="3">
      <w:start w:val="1"/>
      <w:numFmt w:val="bullet"/>
      <w:lvlText w:val="●"/>
      <w:lvlJc w:val="left"/>
      <w:pPr>
        <w:ind w:left="2430" w:hanging="270"/>
      </w:pPr>
      <w:rPr>
        <w:u w:val="none"/>
      </w:rPr>
    </w:lvl>
    <w:lvl w:ilvl="4">
      <w:start w:val="1"/>
      <w:numFmt w:val="bullet"/>
      <w:lvlText w:val="○"/>
      <w:lvlJc w:val="left"/>
      <w:pPr>
        <w:ind w:left="3150" w:hanging="270"/>
      </w:pPr>
      <w:rPr>
        <w:u w:val="none"/>
      </w:rPr>
    </w:lvl>
    <w:lvl w:ilvl="5">
      <w:start w:val="1"/>
      <w:numFmt w:val="bullet"/>
      <w:lvlText w:val="■"/>
      <w:lvlJc w:val="left"/>
      <w:pPr>
        <w:ind w:left="3870" w:hanging="270"/>
      </w:pPr>
      <w:rPr>
        <w:u w:val="none"/>
      </w:rPr>
    </w:lvl>
    <w:lvl w:ilvl="6">
      <w:start w:val="1"/>
      <w:numFmt w:val="bullet"/>
      <w:lvlText w:val="●"/>
      <w:lvlJc w:val="left"/>
      <w:pPr>
        <w:ind w:left="4590" w:hanging="270"/>
      </w:pPr>
      <w:rPr>
        <w:u w:val="none"/>
      </w:rPr>
    </w:lvl>
    <w:lvl w:ilvl="7">
      <w:start w:val="1"/>
      <w:numFmt w:val="bullet"/>
      <w:lvlText w:val="○"/>
      <w:lvlJc w:val="left"/>
      <w:pPr>
        <w:ind w:left="5310" w:hanging="270"/>
      </w:pPr>
      <w:rPr>
        <w:u w:val="none"/>
      </w:rPr>
    </w:lvl>
    <w:lvl w:ilvl="8">
      <w:start w:val="1"/>
      <w:numFmt w:val="bullet"/>
      <w:lvlText w:val="■"/>
      <w:lvlJc w:val="left"/>
      <w:pPr>
        <w:ind w:left="6030" w:hanging="270"/>
      </w:pPr>
      <w:rPr>
        <w:u w:val="none"/>
      </w:rPr>
    </w:lvl>
  </w:abstractNum>
  <w:abstractNum w:abstractNumId="4">
    <w:nsid w:val="403320A8"/>
    <w:multiLevelType w:val="hybridMultilevel"/>
    <w:tmpl w:val="185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C65B5"/>
    <w:multiLevelType w:val="multilevel"/>
    <w:tmpl w:val="3DD80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2704944"/>
    <w:multiLevelType w:val="multilevel"/>
    <w:tmpl w:val="E1EEE668"/>
    <w:lvl w:ilvl="0">
      <w:start w:val="1"/>
      <w:numFmt w:val="bullet"/>
      <w:lvlText w:val="●"/>
      <w:lvlJc w:val="left"/>
      <w:pPr>
        <w:ind w:left="270" w:hanging="270"/>
      </w:pPr>
      <w:rPr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990" w:hanging="270"/>
      </w:pPr>
      <w:rPr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1710" w:hanging="270"/>
      </w:pPr>
      <w:rPr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430" w:hanging="270"/>
      </w:pPr>
      <w:rPr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150" w:hanging="270"/>
      </w:pPr>
      <w:rPr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3870" w:hanging="270"/>
      </w:pPr>
      <w:rPr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590" w:hanging="270"/>
      </w:pPr>
      <w:rPr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310" w:hanging="270"/>
      </w:pPr>
      <w:rPr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030" w:hanging="270"/>
      </w:pPr>
      <w:rPr>
        <w:smallCaps w:val="0"/>
        <w:strike w:val="0"/>
        <w:vertAlign w:val="baseline"/>
      </w:rPr>
    </w:lvl>
  </w:abstractNum>
  <w:abstractNum w:abstractNumId="7">
    <w:nsid w:val="542548F2"/>
    <w:multiLevelType w:val="multilevel"/>
    <w:tmpl w:val="6E50967A"/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99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1710" w:hanging="270"/>
      </w:pPr>
      <w:rPr>
        <w:u w:val="none"/>
      </w:rPr>
    </w:lvl>
    <w:lvl w:ilvl="3">
      <w:start w:val="1"/>
      <w:numFmt w:val="bullet"/>
      <w:lvlText w:val="●"/>
      <w:lvlJc w:val="left"/>
      <w:pPr>
        <w:ind w:left="2430" w:hanging="270"/>
      </w:pPr>
      <w:rPr>
        <w:u w:val="none"/>
      </w:rPr>
    </w:lvl>
    <w:lvl w:ilvl="4">
      <w:start w:val="1"/>
      <w:numFmt w:val="bullet"/>
      <w:lvlText w:val="○"/>
      <w:lvlJc w:val="left"/>
      <w:pPr>
        <w:ind w:left="3150" w:hanging="270"/>
      </w:pPr>
      <w:rPr>
        <w:u w:val="none"/>
      </w:rPr>
    </w:lvl>
    <w:lvl w:ilvl="5">
      <w:start w:val="1"/>
      <w:numFmt w:val="bullet"/>
      <w:lvlText w:val="■"/>
      <w:lvlJc w:val="left"/>
      <w:pPr>
        <w:ind w:left="3870" w:hanging="270"/>
      </w:pPr>
      <w:rPr>
        <w:u w:val="none"/>
      </w:rPr>
    </w:lvl>
    <w:lvl w:ilvl="6">
      <w:start w:val="1"/>
      <w:numFmt w:val="bullet"/>
      <w:lvlText w:val="●"/>
      <w:lvlJc w:val="left"/>
      <w:pPr>
        <w:ind w:left="4590" w:hanging="270"/>
      </w:pPr>
      <w:rPr>
        <w:u w:val="none"/>
      </w:rPr>
    </w:lvl>
    <w:lvl w:ilvl="7">
      <w:start w:val="1"/>
      <w:numFmt w:val="bullet"/>
      <w:lvlText w:val="○"/>
      <w:lvlJc w:val="left"/>
      <w:pPr>
        <w:ind w:left="5310" w:hanging="270"/>
      </w:pPr>
      <w:rPr>
        <w:u w:val="none"/>
      </w:rPr>
    </w:lvl>
    <w:lvl w:ilvl="8">
      <w:start w:val="1"/>
      <w:numFmt w:val="bullet"/>
      <w:lvlText w:val="■"/>
      <w:lvlJc w:val="left"/>
      <w:pPr>
        <w:ind w:left="6030" w:hanging="270"/>
      </w:pPr>
      <w:rPr>
        <w:u w:val="none"/>
      </w:rPr>
    </w:lvl>
  </w:abstractNum>
  <w:abstractNum w:abstractNumId="8">
    <w:nsid w:val="543D6D01"/>
    <w:multiLevelType w:val="multilevel"/>
    <w:tmpl w:val="2ABCD726"/>
    <w:lvl w:ilvl="0">
      <w:start w:val="1"/>
      <w:numFmt w:val="bullet"/>
      <w:lvlText w:val="●"/>
      <w:lvlJc w:val="left"/>
      <w:pPr>
        <w:ind w:left="270" w:hanging="270"/>
      </w:pPr>
      <w:rPr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990" w:hanging="270"/>
      </w:pPr>
      <w:rPr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1710" w:hanging="270"/>
      </w:pPr>
      <w:rPr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430" w:hanging="270"/>
      </w:pPr>
      <w:rPr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150" w:hanging="270"/>
      </w:pPr>
      <w:rPr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3870" w:hanging="270"/>
      </w:pPr>
      <w:rPr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590" w:hanging="270"/>
      </w:pPr>
      <w:rPr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310" w:hanging="270"/>
      </w:pPr>
      <w:rPr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030" w:hanging="270"/>
      </w:pPr>
      <w:rPr>
        <w:smallCaps w:val="0"/>
        <w:strike w:val="0"/>
        <w:vertAlign w:val="baseline"/>
      </w:rPr>
    </w:lvl>
  </w:abstractNum>
  <w:abstractNum w:abstractNumId="9">
    <w:nsid w:val="613F71C8"/>
    <w:multiLevelType w:val="hybridMultilevel"/>
    <w:tmpl w:val="889A2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1A16"/>
    <w:multiLevelType w:val="multilevel"/>
    <w:tmpl w:val="FF6EBF02"/>
    <w:lvl w:ilvl="0">
      <w:start w:val="1"/>
      <w:numFmt w:val="bullet"/>
      <w:lvlText w:val="●"/>
      <w:lvlJc w:val="left"/>
      <w:pPr>
        <w:ind w:left="270" w:hanging="270"/>
      </w:pPr>
      <w:rPr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990" w:hanging="270"/>
      </w:pPr>
      <w:rPr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1710" w:hanging="270"/>
      </w:pPr>
      <w:rPr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430" w:hanging="270"/>
      </w:pPr>
      <w:rPr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150" w:hanging="270"/>
      </w:pPr>
      <w:rPr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3870" w:hanging="270"/>
      </w:pPr>
      <w:rPr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590" w:hanging="270"/>
      </w:pPr>
      <w:rPr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310" w:hanging="270"/>
      </w:pPr>
      <w:rPr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030" w:hanging="270"/>
      </w:pPr>
      <w:rPr>
        <w:smallCaps w:val="0"/>
        <w:strike w:val="0"/>
        <w:vertAlign w:val="baseline"/>
      </w:rPr>
    </w:lvl>
  </w:abstractNum>
  <w:abstractNum w:abstractNumId="11">
    <w:nsid w:val="6B741A84"/>
    <w:multiLevelType w:val="hybridMultilevel"/>
    <w:tmpl w:val="E3E4627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93D5B9D"/>
    <w:multiLevelType w:val="hybridMultilevel"/>
    <w:tmpl w:val="A3F6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2DE3"/>
    <w:rsid w:val="00027A83"/>
    <w:rsid w:val="000704A0"/>
    <w:rsid w:val="00153BA1"/>
    <w:rsid w:val="00356C26"/>
    <w:rsid w:val="0037581A"/>
    <w:rsid w:val="00587A37"/>
    <w:rsid w:val="006E2A91"/>
    <w:rsid w:val="00763EF2"/>
    <w:rsid w:val="00770E2E"/>
    <w:rsid w:val="00861296"/>
    <w:rsid w:val="008808D4"/>
    <w:rsid w:val="00970CBD"/>
    <w:rsid w:val="00991A54"/>
    <w:rsid w:val="00A017B9"/>
    <w:rsid w:val="00B96ED7"/>
    <w:rsid w:val="00BA74A7"/>
    <w:rsid w:val="00BB650F"/>
    <w:rsid w:val="00C014F4"/>
    <w:rsid w:val="00D12DE3"/>
    <w:rsid w:val="00D75044"/>
    <w:rsid w:val="00E463BF"/>
    <w:rsid w:val="00EA57D6"/>
    <w:rsid w:val="00FA35C8"/>
    <w:rsid w:val="00FE5E4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70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character" w:styleId="Hyperlink">
    <w:name w:val="Hyperlink"/>
    <w:rPr>
      <w:u w:val="single"/>
    </w:rPr>
  </w:style>
  <w:style w:type="paragraph" w:customStyle="1" w:styleId="Normal3">
    <w:name w:val="Normal3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3"/>
      <w:szCs w:val="23"/>
      <w:u w:val="single" w:color="0000FF"/>
    </w:rPr>
  </w:style>
  <w:style w:type="character" w:customStyle="1" w:styleId="Hyperlink1">
    <w:name w:val="Hyperlink.1"/>
    <w:basedOn w:val="None"/>
    <w:rPr>
      <w:u w:val="single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7B9"/>
  </w:style>
  <w:style w:type="paragraph" w:styleId="Footer">
    <w:name w:val="footer"/>
    <w:basedOn w:val="Normal"/>
    <w:link w:val="FooterChar"/>
    <w:uiPriority w:val="99"/>
    <w:unhideWhenUsed/>
    <w:rsid w:val="00A01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B9"/>
  </w:style>
  <w:style w:type="character" w:styleId="PageNumber">
    <w:name w:val="page number"/>
    <w:basedOn w:val="DefaultParagraphFont"/>
    <w:uiPriority w:val="99"/>
    <w:semiHidden/>
    <w:unhideWhenUsed/>
    <w:rsid w:val="00587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character" w:styleId="Hyperlink">
    <w:name w:val="Hyperlink"/>
    <w:rPr>
      <w:u w:val="single"/>
    </w:rPr>
  </w:style>
  <w:style w:type="paragraph" w:customStyle="1" w:styleId="Normal3">
    <w:name w:val="Normal3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3"/>
      <w:szCs w:val="23"/>
      <w:u w:val="single" w:color="0000FF"/>
    </w:rPr>
  </w:style>
  <w:style w:type="character" w:customStyle="1" w:styleId="Hyperlink1">
    <w:name w:val="Hyperlink.1"/>
    <w:basedOn w:val="None"/>
    <w:rPr>
      <w:u w:val="single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7B9"/>
  </w:style>
  <w:style w:type="paragraph" w:styleId="Footer">
    <w:name w:val="footer"/>
    <w:basedOn w:val="Normal"/>
    <w:link w:val="FooterChar"/>
    <w:uiPriority w:val="99"/>
    <w:unhideWhenUsed/>
    <w:rsid w:val="00A01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B9"/>
  </w:style>
  <w:style w:type="character" w:styleId="PageNumber">
    <w:name w:val="page number"/>
    <w:basedOn w:val="DefaultParagraphFont"/>
    <w:uiPriority w:val="99"/>
    <w:semiHidden/>
    <w:unhideWhenUsed/>
    <w:rsid w:val="0058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yperlink" Target="https://www.eastlink.ca/about/covid-19-updates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9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hyperlink" Target="http://www.crtc.gc.ca" TargetMode="External"/><Relationship Id="rId12" Type="http://schemas.openxmlformats.org/officeDocument/2006/relationships/hyperlink" Target="https://crtc.gc.ca/fra/phone/mobile/code.htm" TargetMode="External"/><Relationship Id="rId13" Type="http://schemas.openxmlformats.org/officeDocument/2006/relationships/hyperlink" Target="https://www.youtube.com/watch?v=bKqq0dSA7qs" TargetMode="External"/><Relationship Id="rId14" Type="http://schemas.openxmlformats.org/officeDocument/2006/relationships/hyperlink" Target="https://www.youtube.com/watch?v=9uDy0HQdVcA&amp;feature=youtu.be" TargetMode="External"/><Relationship Id="rId15" Type="http://schemas.openxmlformats.org/officeDocument/2006/relationships/hyperlink" Target="https://www.bell.ca/Covid-19-update" TargetMode="External"/><Relationship Id="rId16" Type="http://schemas.openxmlformats.org/officeDocument/2006/relationships/hyperlink" Target="https://www.rogers.com/covid-19/updates" TargetMode="External"/><Relationship Id="rId17" Type="http://schemas.openxmlformats.org/officeDocument/2006/relationships/hyperlink" Target="https://www.telus.com/en/about/covid-19-updates" TargetMode="External"/><Relationship Id="rId18" Type="http://schemas.openxmlformats.org/officeDocument/2006/relationships/hyperlink" Target="https://support.sasktel.com/app/answers/detail/a_id/25281/session/L2F2LzEvdGltZS8xNTkwMzIxMTA3L2dlbi8xNTkwMzIxMTA3L3NpZC9mVTgyVkolN0U3dmNJSSU3RXZVWll2cWoyWTdxV3BZTkx6MzNKWDlPMW5jb282TFFmZWdab0ltdHBxSFltSDNfTHVnQ2N4NXlDcDE1VWxqclBBa3hsVkhtdFFyVjA3ZHI5R1pNeHBOdEVINFE5eXlkSFVaaTdKZmFHVTN3JTIxJTIx" TargetMode="External"/><Relationship Id="rId19" Type="http://schemas.openxmlformats.org/officeDocument/2006/relationships/hyperlink" Target="https://videotron.com/residential/p/services/covid-19/A-psku13490133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Itq7erR+kOHCmKzPPjRwevMBg==">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989</Words>
  <Characters>5639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Buchanan</dc:creator>
  <cp:lastModifiedBy>Frank Folino</cp:lastModifiedBy>
  <cp:revision>7</cp:revision>
  <dcterms:created xsi:type="dcterms:W3CDTF">2020-05-29T02:41:00Z</dcterms:created>
  <dcterms:modified xsi:type="dcterms:W3CDTF">2020-05-29T02:53:00Z</dcterms:modified>
</cp:coreProperties>
</file>